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</w:rPr>
        <w:t>附件1：</w:t>
      </w:r>
    </w:p>
    <w:p>
      <w:pPr>
        <w:spacing w:after="156" w:afterLines="50"/>
        <w:jc w:val="center"/>
        <w:rPr>
          <w:rFonts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  <w:t>2024年读书活动必读书目和选读书目清单</w:t>
      </w:r>
    </w:p>
    <w:p>
      <w:pPr>
        <w:spacing w:after="156" w:afterLines="50" w:line="360" w:lineRule="auto"/>
        <w:jc w:val="center"/>
        <w:rPr>
          <w:rFonts w:ascii="仿宋" w:hAnsi="仿宋" w:eastAsia="仿宋" w:cs="仿宋_GB2312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color w:val="2B2B2B"/>
          <w:sz w:val="32"/>
          <w:szCs w:val="32"/>
          <w:shd w:val="clear" w:color="auto" w:fill="FFFFFF"/>
        </w:rPr>
        <w:t>（图书馆有相关书目供借阅）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从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走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向世界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中共中央在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安十三年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安，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我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是一个中国的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美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国人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安精神新论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中国新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型政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党制度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安精神与统一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战线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领航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从一大到十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九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大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大道之行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中国共产党与中国社会主义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党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领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导的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强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大体制对中国意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味着什么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百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年大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变局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邓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小平时代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永远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路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上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苦难辉煌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长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征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一部读不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完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的书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安一月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历史的微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声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建国大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业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口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述上海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浦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江之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畔忆延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归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来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延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安精神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伟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大的开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端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细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节的力量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习近平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著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作选读</w:t>
      </w:r>
    </w:p>
    <w:p>
      <w:pPr>
        <w:numPr>
          <w:ilvl w:val="0"/>
          <w:numId w:val="1"/>
        </w:numPr>
        <w:tabs>
          <w:tab w:val="left" w:pos="640"/>
        </w:tabs>
        <w:ind w:left="425" w:leftChars="0" w:hanging="425" w:firstLineChars="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习近平论中国共产党党史</w:t>
      </w:r>
    </w:p>
    <w:p>
      <w:pPr>
        <w:numPr>
          <w:ilvl w:val="0"/>
          <w:numId w:val="1"/>
        </w:numPr>
        <w:tabs>
          <w:tab w:val="left" w:pos="640"/>
        </w:tabs>
        <w:spacing w:line="360" w:lineRule="auto"/>
        <w:ind w:left="425" w:leftChars="0" w:hanging="425" w:firstLineChars="0"/>
        <w:rPr>
          <w:rFonts w:ascii="仿宋" w:hAnsi="仿宋" w:eastAsia="仿宋" w:cs="宋体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习近平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谈治</w:t>
      </w:r>
      <w:r>
        <w:rPr>
          <w:rFonts w:hint="eastAsia" w:ascii="仿宋" w:hAnsi="仿宋" w:eastAsia="仿宋" w:cs="___WRD_EMBED_SUB_39"/>
          <w:bCs/>
          <w:sz w:val="32"/>
          <w:szCs w:val="32"/>
          <w:shd w:val="clear" w:color="auto" w:fill="FFFFFF"/>
        </w:rPr>
        <w:t>国理</w:t>
      </w:r>
      <w:r>
        <w:rPr>
          <w:rFonts w:hint="eastAsia" w:ascii="仿宋" w:hAnsi="仿宋" w:eastAsia="仿宋" w:cs="宋体"/>
          <w:bCs/>
          <w:sz w:val="32"/>
          <w:szCs w:val="32"/>
          <w:shd w:val="clear" w:color="auto" w:fill="FFFFFF"/>
        </w:rPr>
        <w:t>政</w:t>
      </w:r>
    </w:p>
    <w:p>
      <w:pPr>
        <w:numPr>
          <w:ilvl w:val="0"/>
          <w:numId w:val="1"/>
        </w:numPr>
        <w:tabs>
          <w:tab w:val="left" w:pos="640"/>
        </w:tabs>
        <w:spacing w:line="360" w:lineRule="auto"/>
        <w:ind w:left="425" w:leftChars="0" w:hanging="425" w:firstLineChars="0"/>
        <w:rPr>
          <w:rFonts w:ascii="仿宋" w:hAnsi="仿宋" w:eastAsia="仿宋" w:cs="宋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shd w:val="clear" w:color="auto" w:fill="FFFFFF"/>
        </w:rPr>
        <w:t>延安赢天下</w:t>
      </w:r>
    </w:p>
    <w:p>
      <w:pPr>
        <w:numPr>
          <w:ilvl w:val="0"/>
          <w:numId w:val="1"/>
        </w:numPr>
        <w:tabs>
          <w:tab w:val="left" w:pos="640"/>
        </w:tabs>
        <w:spacing w:line="360" w:lineRule="auto"/>
        <w:ind w:left="425" w:leftChars="0" w:hanging="425" w:firstLineChars="0"/>
        <w:rPr>
          <w:rFonts w:hint="eastAsia" w:ascii="仿宋" w:hAnsi="仿宋" w:eastAsia="仿宋" w:cs="宋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shd w:val="clear" w:color="auto" w:fill="FFFFFF"/>
        </w:rPr>
        <w:t>延安精神的新时代价值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D1F14"/>
    <w:multiLevelType w:val="singleLevel"/>
    <w:tmpl w:val="769D1F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5D775157"/>
    <w:rsid w:val="5D7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2024-04-22T05:58:00Z</dcterms:created>
  <dc:creator>jslm</dc:creator>
  <cp:lastModifiedBy>jslm</cp:lastModifiedBy>
  <dcterms:modified xsi:type="dcterms:W3CDTF">2024-04-22T05:59:16Z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3F78078EE2D84AB28DBDBD762228A963_11</vt:lpwstr>
  </property>
</Properties>
</file>